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79" w:rsidRPr="003E0637" w:rsidRDefault="00103F79" w:rsidP="00103F79">
      <w:pPr>
        <w:autoSpaceDE w:val="0"/>
        <w:autoSpaceDN w:val="0"/>
        <w:adjustRightInd w:val="0"/>
        <w:spacing w:before="0" w:after="200"/>
        <w:ind w:firstLine="0"/>
        <w:jc w:val="both"/>
        <w:rPr>
          <w:rFonts w:eastAsia="Calibri"/>
          <w:color w:val="000000"/>
          <w:sz w:val="26"/>
          <w:szCs w:val="26"/>
        </w:rPr>
      </w:pPr>
    </w:p>
    <w:p w:rsidR="00103F79" w:rsidRPr="003E0637" w:rsidRDefault="00103F79" w:rsidP="00103F79">
      <w:pPr>
        <w:spacing w:before="0" w:after="0" w:line="240" w:lineRule="auto"/>
        <w:ind w:firstLine="0"/>
        <w:jc w:val="center"/>
        <w:rPr>
          <w:b/>
          <w:color w:val="000000"/>
          <w:sz w:val="26"/>
          <w:szCs w:val="26"/>
          <w:lang w:val="nl-NL"/>
        </w:rPr>
      </w:pPr>
      <w:r w:rsidRPr="003E0637">
        <w:rPr>
          <w:b/>
          <w:color w:val="000000"/>
          <w:sz w:val="26"/>
          <w:szCs w:val="26"/>
          <w:lang w:val="nl-NL"/>
        </w:rPr>
        <w:t>Quy trình nội bộ trong giải quyết thủ tục hành chính</w:t>
      </w:r>
    </w:p>
    <w:p w:rsidR="00103F79" w:rsidRPr="003E0637" w:rsidRDefault="00103F79" w:rsidP="00103F79">
      <w:pPr>
        <w:spacing w:before="0" w:line="240" w:lineRule="auto"/>
        <w:ind w:firstLine="0"/>
        <w:jc w:val="center"/>
        <w:outlineLvl w:val="0"/>
        <w:rPr>
          <w:b/>
          <w:color w:val="000000"/>
          <w:sz w:val="26"/>
          <w:szCs w:val="26"/>
          <w:lang w:val="vi-VN"/>
        </w:rPr>
      </w:pPr>
      <w:r w:rsidRPr="003E0637">
        <w:rPr>
          <w:b/>
          <w:color w:val="000000"/>
          <w:sz w:val="26"/>
          <w:szCs w:val="26"/>
          <w:lang w:val="vi-VN"/>
        </w:rPr>
        <w:t>Cấp Giấy chứng nhận đủ điều kiện nhập khẩu thuốc thú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7482"/>
        <w:gridCol w:w="2398"/>
        <w:gridCol w:w="1616"/>
        <w:gridCol w:w="1250"/>
      </w:tblGrid>
      <w:tr w:rsidR="00103F79" w:rsidRPr="003E0637" w:rsidTr="00E531F1">
        <w:tc>
          <w:tcPr>
            <w:tcW w:w="504"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
                <w:bCs/>
                <w:color w:val="000000"/>
                <w:kern w:val="32"/>
                <w:sz w:val="26"/>
                <w:szCs w:val="26"/>
                <w:lang w:val="nl-NL"/>
              </w:rPr>
              <w:t>Thứ tự công việc</w:t>
            </w:r>
          </w:p>
        </w:tc>
        <w:tc>
          <w:tcPr>
            <w:tcW w:w="2638" w:type="pct"/>
          </w:tcPr>
          <w:p w:rsidR="00103F79" w:rsidRPr="00330AD1" w:rsidRDefault="00103F79" w:rsidP="00E531F1">
            <w:pPr>
              <w:tabs>
                <w:tab w:val="left" w:pos="420"/>
              </w:tabs>
              <w:spacing w:before="0" w:after="0" w:line="240" w:lineRule="auto"/>
              <w:ind w:firstLine="0"/>
              <w:rPr>
                <w:color w:val="000000"/>
                <w:sz w:val="26"/>
                <w:szCs w:val="26"/>
              </w:rPr>
            </w:pPr>
            <w:r w:rsidRPr="00330AD1">
              <w:rPr>
                <w:b/>
                <w:bCs/>
                <w:color w:val="000000"/>
                <w:kern w:val="32"/>
                <w:sz w:val="26"/>
                <w:szCs w:val="26"/>
                <w:lang w:val="nl-NL"/>
              </w:rPr>
              <w:t>Nội dung công việc cụ thể</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
                <w:bCs/>
                <w:color w:val="000000"/>
                <w:kern w:val="32"/>
                <w:sz w:val="26"/>
                <w:szCs w:val="26"/>
                <w:lang w:val="nl-NL"/>
              </w:rPr>
              <w:t>Đơn vị/người thực hiện</w:t>
            </w:r>
          </w:p>
        </w:tc>
        <w:tc>
          <w:tcPr>
            <w:tcW w:w="570"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
                <w:bCs/>
                <w:color w:val="000000"/>
                <w:kern w:val="32"/>
                <w:sz w:val="26"/>
                <w:szCs w:val="26"/>
                <w:lang w:val="nl-NL"/>
              </w:rPr>
              <w:t>Thời gian</w:t>
            </w: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
                <w:bCs/>
                <w:color w:val="000000"/>
                <w:kern w:val="32"/>
                <w:sz w:val="26"/>
                <w:szCs w:val="26"/>
                <w:lang w:val="nl-NL"/>
              </w:rPr>
              <w:t>Đánh giá bằng điểm</w:t>
            </w:r>
          </w:p>
        </w:tc>
      </w:tr>
      <w:tr w:rsidR="00103F79" w:rsidRPr="003E0637" w:rsidTr="00E531F1">
        <w:tc>
          <w:tcPr>
            <w:tcW w:w="504" w:type="pct"/>
            <w:vMerge w:val="restar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1</w:t>
            </w:r>
          </w:p>
        </w:tc>
        <w:tc>
          <w:tcPr>
            <w:tcW w:w="2638" w:type="pct"/>
          </w:tcPr>
          <w:p w:rsidR="00103F79" w:rsidRPr="00330AD1" w:rsidRDefault="00103F79" w:rsidP="00E531F1">
            <w:pPr>
              <w:tabs>
                <w:tab w:val="left" w:pos="420"/>
              </w:tabs>
              <w:spacing w:before="0" w:after="0" w:line="240" w:lineRule="auto"/>
              <w:ind w:firstLine="0"/>
              <w:rPr>
                <w:color w:val="000000"/>
                <w:sz w:val="26"/>
                <w:szCs w:val="26"/>
              </w:rPr>
            </w:pPr>
            <w:r w:rsidRPr="00330AD1">
              <w:rPr>
                <w:color w:val="000000"/>
                <w:sz w:val="26"/>
                <w:szCs w:val="26"/>
              </w:rPr>
              <w:t>1.1. Tiếp nhận hồ sơ, xem xét tính đầy đủ, hợp lệ của hồ sơ, kiểm tra hồ sơ:</w:t>
            </w:r>
          </w:p>
          <w:p w:rsidR="00103F79" w:rsidRPr="00330AD1" w:rsidRDefault="00103F79" w:rsidP="00E531F1">
            <w:pPr>
              <w:tabs>
                <w:tab w:val="left" w:pos="420"/>
              </w:tabs>
              <w:spacing w:before="0" w:after="0" w:line="240" w:lineRule="auto"/>
              <w:ind w:firstLine="0"/>
              <w:rPr>
                <w:color w:val="000000"/>
                <w:sz w:val="26"/>
                <w:szCs w:val="26"/>
              </w:rPr>
            </w:pPr>
            <w:r w:rsidRPr="00330AD1">
              <w:rPr>
                <w:color w:val="000000"/>
                <w:sz w:val="26"/>
                <w:szCs w:val="26"/>
              </w:rPr>
              <w:t>- Đối với trương hợp tổ chức nộp hồ sơ trực tiếp:</w:t>
            </w:r>
          </w:p>
          <w:p w:rsidR="00103F79" w:rsidRPr="00330AD1" w:rsidRDefault="00103F79" w:rsidP="00E531F1">
            <w:pPr>
              <w:tabs>
                <w:tab w:val="left" w:pos="420"/>
              </w:tabs>
              <w:spacing w:before="0" w:after="0" w:line="240" w:lineRule="auto"/>
              <w:ind w:firstLine="0"/>
              <w:rPr>
                <w:color w:val="000000"/>
                <w:sz w:val="26"/>
                <w:szCs w:val="26"/>
              </w:rPr>
            </w:pPr>
            <w:r w:rsidRPr="00330AD1">
              <w:rPr>
                <w:color w:val="000000"/>
                <w:sz w:val="26"/>
                <w:szCs w:val="26"/>
              </w:rPr>
              <w:t xml:space="preserve">+ Nếu hồ sơ không đầy đủ: thì hướng dẫn cho tổ chức bổ sung hoàn chỉnh theo đúng quy định </w:t>
            </w:r>
          </w:p>
          <w:p w:rsidR="00103F79" w:rsidRPr="00330AD1" w:rsidRDefault="00103F79" w:rsidP="00E531F1">
            <w:pPr>
              <w:tabs>
                <w:tab w:val="left" w:pos="420"/>
              </w:tabs>
              <w:spacing w:before="0" w:after="0" w:line="240" w:lineRule="auto"/>
              <w:ind w:firstLine="0"/>
              <w:rPr>
                <w:color w:val="000000"/>
                <w:sz w:val="26"/>
                <w:szCs w:val="26"/>
              </w:rPr>
            </w:pPr>
            <w:r w:rsidRPr="00330AD1">
              <w:rPr>
                <w:color w:val="000000"/>
                <w:sz w:val="26"/>
                <w:szCs w:val="26"/>
              </w:rPr>
              <w:t>+ Nếu từ chối nhận hồ sơ: Ghi rõ lý do</w:t>
            </w:r>
          </w:p>
          <w:p w:rsidR="00103F79" w:rsidRPr="00330AD1" w:rsidRDefault="00103F79" w:rsidP="00E531F1">
            <w:pPr>
              <w:tabs>
                <w:tab w:val="left" w:pos="420"/>
              </w:tabs>
              <w:spacing w:before="0" w:after="0" w:line="240" w:lineRule="auto"/>
              <w:ind w:firstLine="0"/>
              <w:rPr>
                <w:color w:val="000000"/>
                <w:sz w:val="26"/>
                <w:szCs w:val="26"/>
              </w:rPr>
            </w:pPr>
            <w:r w:rsidRPr="00330AD1">
              <w:rPr>
                <w:color w:val="000000"/>
                <w:sz w:val="26"/>
                <w:szCs w:val="26"/>
              </w:rPr>
              <w:t xml:space="preserve">+ Nếu hồ sơ đầy đủ: Thực hiện bước 1.2; 1.3 </w:t>
            </w:r>
          </w:p>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 xml:space="preserve">-  Đối với hồ sơ gửi qua bưu điện: Thực hiện bước 1.2; 1.3 </w:t>
            </w:r>
          </w:p>
        </w:tc>
        <w:tc>
          <w:tcPr>
            <w:tcW w:w="846" w:type="pct"/>
            <w:vMerge w:val="restar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Bộ phận Một cửa</w:t>
            </w:r>
          </w:p>
        </w:tc>
        <w:tc>
          <w:tcPr>
            <w:tcW w:w="570" w:type="pct"/>
            <w:vMerge w:val="restart"/>
            <w:vAlign w:val="center"/>
          </w:tcPr>
          <w:p w:rsidR="00103F79" w:rsidRPr="00330AD1" w:rsidRDefault="00103F79" w:rsidP="00E531F1">
            <w:pPr>
              <w:widowControl w:val="0"/>
              <w:spacing w:before="0" w:after="0" w:line="240" w:lineRule="auto"/>
              <w:rPr>
                <w:rFonts w:eastAsia="Calibri"/>
                <w:b/>
                <w:color w:val="000000"/>
                <w:sz w:val="26"/>
                <w:szCs w:val="26"/>
                <w:lang w:val="vi-VN"/>
              </w:rPr>
            </w:pPr>
            <w:r w:rsidRPr="00330AD1">
              <w:rPr>
                <w:bCs/>
                <w:color w:val="000000"/>
                <w:kern w:val="32"/>
                <w:sz w:val="26"/>
                <w:szCs w:val="26"/>
                <w:lang w:val="nl-NL"/>
              </w:rPr>
              <w:t>01 ngày</w:t>
            </w:r>
          </w:p>
        </w:tc>
        <w:tc>
          <w:tcPr>
            <w:tcW w:w="441" w:type="pct"/>
            <w:vMerge w:val="restar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1.2. Lập phiếu tiếp nhận hồ sơ, vào sổ cấp mã hồ sơ và hẹn ngày trả kết quả</w:t>
            </w:r>
          </w:p>
        </w:tc>
        <w:tc>
          <w:tcPr>
            <w:tcW w:w="846"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570" w:type="pct"/>
            <w:vMerge/>
            <w:vAlign w:val="center"/>
          </w:tcPr>
          <w:p w:rsidR="00103F79" w:rsidRPr="00330AD1" w:rsidRDefault="00103F79" w:rsidP="00E531F1">
            <w:pPr>
              <w:widowControl w:val="0"/>
              <w:spacing w:before="0" w:after="0" w:line="240" w:lineRule="auto"/>
              <w:jc w:val="center"/>
              <w:rPr>
                <w:rFonts w:eastAsia="Calibri"/>
                <w:b/>
                <w:color w:val="000000"/>
                <w:sz w:val="26"/>
                <w:szCs w:val="26"/>
                <w:lang w:val="vi-VN"/>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rPr>
          <w:trHeight w:val="838"/>
        </w:trPr>
        <w:tc>
          <w:tcPr>
            <w:tcW w:w="504"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2638" w:type="pct"/>
          </w:tcPr>
          <w:p w:rsidR="00103F79" w:rsidRPr="00330AD1" w:rsidRDefault="00103F79" w:rsidP="00E531F1">
            <w:pPr>
              <w:widowControl w:val="0"/>
              <w:spacing w:before="0" w:after="0" w:line="240" w:lineRule="auto"/>
              <w:ind w:firstLine="0"/>
              <w:jc w:val="both"/>
              <w:rPr>
                <w:rFonts w:eastAsia="Calibri"/>
                <w:b/>
                <w:color w:val="000000"/>
                <w:sz w:val="26"/>
                <w:szCs w:val="26"/>
                <w:lang w:val="vi-VN"/>
              </w:rPr>
            </w:pPr>
            <w:r w:rsidRPr="00330AD1">
              <w:rPr>
                <w:color w:val="000000"/>
                <w:sz w:val="26"/>
                <w:szCs w:val="26"/>
              </w:rPr>
              <w:t>1.3. Tiếp nhận hồ sơ từ bộ phận một của, ký nhận bàn giao chuyển lãnh đạo phòng Quản lý thuốc</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Chuyên viên phòng Quản lý thuốc</w:t>
            </w:r>
          </w:p>
        </w:tc>
        <w:tc>
          <w:tcPr>
            <w:tcW w:w="570" w:type="pct"/>
            <w:vMerge/>
            <w:vAlign w:val="center"/>
          </w:tcPr>
          <w:p w:rsidR="00103F79" w:rsidRPr="00330AD1" w:rsidRDefault="00103F79" w:rsidP="00E531F1">
            <w:pPr>
              <w:widowControl w:val="0"/>
              <w:spacing w:before="0" w:after="0" w:line="240" w:lineRule="auto"/>
              <w:jc w:val="center"/>
              <w:rPr>
                <w:rFonts w:eastAsia="Calibri"/>
                <w:b/>
                <w:color w:val="000000"/>
                <w:sz w:val="26"/>
                <w:szCs w:val="26"/>
                <w:lang w:val="vi-VN"/>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2</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rFonts w:eastAsia="Calibri"/>
                <w:color w:val="000000"/>
                <w:sz w:val="26"/>
                <w:szCs w:val="26"/>
              </w:rPr>
              <w:t>Duyệt hồ sơ, chuyển cho chuyên viên xử lý</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Lãnh đạo phòng Quản lý thuốc</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rPr>
          <w:trHeight w:val="2060"/>
        </w:trPr>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3</w:t>
            </w:r>
          </w:p>
        </w:tc>
        <w:tc>
          <w:tcPr>
            <w:tcW w:w="2638" w:type="pct"/>
          </w:tcPr>
          <w:p w:rsidR="00103F79" w:rsidRPr="00330AD1" w:rsidRDefault="00103F79" w:rsidP="00E531F1">
            <w:pPr>
              <w:pStyle w:val="BodyText"/>
              <w:spacing w:before="0" w:after="0" w:line="240" w:lineRule="auto"/>
              <w:ind w:firstLine="0"/>
              <w:jc w:val="both"/>
              <w:rPr>
                <w:rFonts w:ascii="Times New Roman" w:hAnsi="Times New Roman"/>
                <w:color w:val="000000"/>
                <w:szCs w:val="26"/>
              </w:rPr>
            </w:pPr>
            <w:r w:rsidRPr="00330AD1">
              <w:rPr>
                <w:rFonts w:ascii="Times New Roman" w:hAnsi="Times New Roman"/>
                <w:color w:val="000000"/>
                <w:szCs w:val="26"/>
              </w:rPr>
              <w:t xml:space="preserve">Thẩm định Hồ sơ, kiểm tra thành phần </w:t>
            </w:r>
            <w:proofErr w:type="gramStart"/>
            <w:r w:rsidRPr="00330AD1">
              <w:rPr>
                <w:rFonts w:ascii="Times New Roman" w:hAnsi="Times New Roman"/>
                <w:color w:val="000000"/>
                <w:szCs w:val="26"/>
              </w:rPr>
              <w:t>tính  hợp</w:t>
            </w:r>
            <w:proofErr w:type="gramEnd"/>
            <w:r w:rsidRPr="00330AD1">
              <w:rPr>
                <w:rFonts w:ascii="Times New Roman" w:hAnsi="Times New Roman"/>
                <w:color w:val="000000"/>
                <w:szCs w:val="26"/>
              </w:rPr>
              <w:t xml:space="preserve"> lệ.</w:t>
            </w:r>
          </w:p>
          <w:p w:rsidR="00103F79" w:rsidRPr="00330AD1" w:rsidRDefault="00103F79" w:rsidP="00E531F1">
            <w:pPr>
              <w:pStyle w:val="BodyText"/>
              <w:spacing w:before="0" w:after="0" w:line="240" w:lineRule="auto"/>
              <w:ind w:firstLine="0"/>
              <w:jc w:val="both"/>
              <w:rPr>
                <w:rFonts w:ascii="Times New Roman" w:hAnsi="Times New Roman"/>
                <w:color w:val="000000"/>
                <w:szCs w:val="26"/>
              </w:rPr>
            </w:pPr>
            <w:r w:rsidRPr="00330AD1">
              <w:rPr>
                <w:rFonts w:ascii="Times New Roman" w:hAnsi="Times New Roman"/>
                <w:color w:val="000000"/>
                <w:szCs w:val="26"/>
              </w:rPr>
              <w:t>+ Trường hợp hồ sơ không hợp lệ dự thảo công văn trả lời hoặc thông báo cho tổ chức cá nhân được biết (nêu rõ lý do) bổ sung hoàn thiện theo quy định;</w:t>
            </w:r>
          </w:p>
          <w:p w:rsidR="00103F79" w:rsidRPr="00330AD1" w:rsidRDefault="00103F79" w:rsidP="00E531F1">
            <w:pPr>
              <w:pStyle w:val="BodyText"/>
              <w:spacing w:line="320" w:lineRule="exact"/>
              <w:ind w:firstLine="0"/>
              <w:jc w:val="both"/>
              <w:rPr>
                <w:rFonts w:ascii="Times New Roman" w:eastAsia="Calibri" w:hAnsi="Times New Roman"/>
                <w:color w:val="000000"/>
                <w:szCs w:val="26"/>
              </w:rPr>
            </w:pPr>
            <w:r w:rsidRPr="00330AD1">
              <w:rPr>
                <w:rFonts w:ascii="Times New Roman" w:hAnsi="Times New Roman"/>
                <w:color w:val="000000"/>
                <w:szCs w:val="26"/>
              </w:rPr>
              <w:t>+ Trường hợp hồ sơ hợp lệ chuyên viên được phân công dự thảo Quyết định thành lập Đoàn kiểm tra. Trình lãnh đạo Phòng xem xét.</w:t>
            </w:r>
          </w:p>
        </w:tc>
        <w:tc>
          <w:tcPr>
            <w:tcW w:w="846"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Chuyên viên Phòng Quản lý thuốc</w:t>
            </w:r>
          </w:p>
        </w:tc>
        <w:tc>
          <w:tcPr>
            <w:tcW w:w="570" w:type="pct"/>
            <w:vMerge w:val="restart"/>
            <w:vAlign w:val="center"/>
          </w:tcPr>
          <w:p w:rsidR="00103F79" w:rsidRPr="00330AD1" w:rsidRDefault="00103F79" w:rsidP="00E531F1">
            <w:pPr>
              <w:keepNext/>
              <w:spacing w:before="0" w:after="0" w:line="240" w:lineRule="auto"/>
              <w:ind w:firstLine="0"/>
              <w:jc w:val="center"/>
              <w:outlineLvl w:val="0"/>
              <w:rPr>
                <w:bCs/>
                <w:color w:val="000000"/>
                <w:kern w:val="32"/>
                <w:sz w:val="26"/>
                <w:szCs w:val="26"/>
                <w:lang w:val="nl-NL"/>
              </w:rPr>
            </w:pPr>
            <w:r w:rsidRPr="00330AD1">
              <w:rPr>
                <w:bCs/>
                <w:color w:val="000000"/>
                <w:kern w:val="32"/>
                <w:sz w:val="26"/>
                <w:szCs w:val="26"/>
                <w:lang w:val="nl-NL"/>
              </w:rPr>
              <w:t>08 ngày</w:t>
            </w:r>
          </w:p>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val="restar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lastRenderedPageBreak/>
              <w:t>Bước 4</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rFonts w:eastAsia="Calibri"/>
                <w:color w:val="000000"/>
                <w:sz w:val="26"/>
                <w:szCs w:val="26"/>
              </w:rPr>
              <w:t xml:space="preserve">Xem xét trình Lãnh đạo Cục ký </w:t>
            </w:r>
            <w:r w:rsidRPr="00330AD1">
              <w:rPr>
                <w:color w:val="000000"/>
                <w:sz w:val="26"/>
                <w:szCs w:val="26"/>
              </w:rPr>
              <w:t>Dự thảo văn bản trả lời hoặc Quyết Định thành lập Đoàn kiểm tra</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Lãnh đạo phòng Quản lý thuốc</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5</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rFonts w:eastAsia="Calibri"/>
                <w:color w:val="000000"/>
                <w:sz w:val="26"/>
                <w:szCs w:val="26"/>
              </w:rPr>
              <w:t xml:space="preserve">Phê duyệt </w:t>
            </w:r>
            <w:r w:rsidRPr="00330AD1">
              <w:rPr>
                <w:color w:val="000000"/>
                <w:sz w:val="26"/>
                <w:szCs w:val="26"/>
              </w:rPr>
              <w:t>Dự thảo văn bản trả lời hoặc Quyết Định thành lập Đoàn kiểm tra</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Lãnh đạo Cục</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val="restar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6</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Thông báo Quyết định kiểm tra</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Văn Thư</w:t>
            </w:r>
          </w:p>
        </w:tc>
        <w:tc>
          <w:tcPr>
            <w:tcW w:w="570" w:type="pct"/>
            <w:vMerge w:val="restart"/>
            <w:vAlign w:val="center"/>
          </w:tcPr>
          <w:p w:rsidR="00103F79" w:rsidRPr="00330AD1" w:rsidRDefault="00103F79" w:rsidP="00E531F1">
            <w:pPr>
              <w:keepNext/>
              <w:spacing w:before="0" w:after="0" w:line="240" w:lineRule="auto"/>
              <w:ind w:firstLine="0"/>
              <w:jc w:val="center"/>
              <w:outlineLvl w:val="0"/>
              <w:rPr>
                <w:bCs/>
                <w:color w:val="000000"/>
                <w:kern w:val="32"/>
                <w:sz w:val="26"/>
                <w:szCs w:val="26"/>
                <w:lang w:val="nl-NL"/>
              </w:rPr>
            </w:pPr>
            <w:r w:rsidRPr="00330AD1">
              <w:rPr>
                <w:bCs/>
                <w:color w:val="000000"/>
                <w:kern w:val="32"/>
                <w:sz w:val="26"/>
                <w:szCs w:val="26"/>
                <w:lang w:val="nl-NL"/>
              </w:rPr>
              <w:t>01 ngày</w:t>
            </w:r>
          </w:p>
          <w:p w:rsidR="00103F79" w:rsidRPr="00330AD1" w:rsidRDefault="00103F79" w:rsidP="00E531F1">
            <w:pPr>
              <w:keepNext/>
              <w:spacing w:before="0" w:after="0" w:line="240" w:lineRule="auto"/>
              <w:ind w:firstLine="0"/>
              <w:jc w:val="center"/>
              <w:outlineLvl w:val="0"/>
              <w:rPr>
                <w:bCs/>
                <w:color w:val="000000"/>
                <w:kern w:val="32"/>
                <w:sz w:val="26"/>
                <w:szCs w:val="26"/>
                <w:lang w:val="nl-NL"/>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7</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Tiến hành kiểm tra điều kiện nhập khẩu thuốc Thú y, Lập biên bản kiểm tra</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Đoàn kiểm tra</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val="restar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8</w:t>
            </w:r>
          </w:p>
        </w:tc>
        <w:tc>
          <w:tcPr>
            <w:tcW w:w="2638" w:type="pct"/>
          </w:tcPr>
          <w:p w:rsidR="00103F79" w:rsidRPr="00330AD1" w:rsidRDefault="00103F79" w:rsidP="00E531F1">
            <w:pPr>
              <w:spacing w:before="0" w:after="0" w:line="240" w:lineRule="auto"/>
              <w:ind w:firstLine="0"/>
              <w:rPr>
                <w:color w:val="000000"/>
                <w:sz w:val="26"/>
                <w:szCs w:val="26"/>
              </w:rPr>
            </w:pPr>
            <w:r w:rsidRPr="00330AD1">
              <w:rPr>
                <w:color w:val="000000"/>
                <w:sz w:val="26"/>
                <w:szCs w:val="26"/>
              </w:rPr>
              <w:t xml:space="preserve">Căn cứ kết quả kiểm tra chuyên viên Phòng Quản lý thuốc kiểm tra hồ sơ. dự thảo văn bản: </w:t>
            </w:r>
          </w:p>
          <w:p w:rsidR="00103F79" w:rsidRPr="00330AD1" w:rsidRDefault="00103F79" w:rsidP="00E531F1">
            <w:pPr>
              <w:spacing w:before="0" w:after="0" w:line="240" w:lineRule="auto"/>
              <w:ind w:firstLine="0"/>
              <w:rPr>
                <w:color w:val="000000"/>
                <w:sz w:val="26"/>
                <w:szCs w:val="26"/>
              </w:rPr>
            </w:pPr>
            <w:r w:rsidRPr="00330AD1">
              <w:rPr>
                <w:color w:val="000000"/>
                <w:sz w:val="26"/>
                <w:szCs w:val="26"/>
              </w:rPr>
              <w:t>+ Dự thảo Giấy chứng nhận đủ điều kiện nhập khẩu thuốc Thú y đối với các đơn vị có đủ điều kiện;</w:t>
            </w:r>
          </w:p>
          <w:p w:rsidR="00103F79" w:rsidRPr="00330AD1" w:rsidRDefault="00103F79" w:rsidP="00E531F1">
            <w:pPr>
              <w:spacing w:before="0" w:after="0" w:line="240" w:lineRule="auto"/>
              <w:ind w:firstLine="0"/>
              <w:rPr>
                <w:color w:val="000000"/>
                <w:sz w:val="26"/>
                <w:szCs w:val="26"/>
              </w:rPr>
            </w:pPr>
            <w:r w:rsidRPr="00330AD1">
              <w:rPr>
                <w:color w:val="000000"/>
                <w:sz w:val="26"/>
                <w:szCs w:val="26"/>
              </w:rPr>
              <w:t>+ Dự thảo công văn trả lời đối với các đơn vị không có đủ điều kiện nhập khẩu thuốc thú y.</w:t>
            </w:r>
          </w:p>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Trình lãnh đạo phòng xem xét</w:t>
            </w:r>
          </w:p>
        </w:tc>
        <w:tc>
          <w:tcPr>
            <w:tcW w:w="846"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Chuyên viên Phòng Quản lý thuốc</w:t>
            </w:r>
          </w:p>
        </w:tc>
        <w:tc>
          <w:tcPr>
            <w:tcW w:w="570" w:type="pct"/>
            <w:vAlign w:val="center"/>
          </w:tcPr>
          <w:p w:rsidR="00103F79" w:rsidRPr="00330AD1" w:rsidRDefault="00103F79" w:rsidP="00E531F1">
            <w:pPr>
              <w:keepNext/>
              <w:spacing w:before="0" w:after="0" w:line="240" w:lineRule="auto"/>
              <w:ind w:firstLine="0"/>
              <w:jc w:val="center"/>
              <w:outlineLvl w:val="0"/>
              <w:rPr>
                <w:bCs/>
                <w:color w:val="000000"/>
                <w:kern w:val="32"/>
                <w:sz w:val="26"/>
                <w:szCs w:val="26"/>
                <w:lang w:val="nl-NL"/>
              </w:rPr>
            </w:pPr>
            <w:r w:rsidRPr="00330AD1">
              <w:rPr>
                <w:bCs/>
                <w:color w:val="000000"/>
                <w:kern w:val="32"/>
                <w:sz w:val="26"/>
                <w:szCs w:val="26"/>
                <w:lang w:val="nl-NL"/>
              </w:rPr>
              <w:t>01 ngày</w:t>
            </w:r>
          </w:p>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Bước 9</w:t>
            </w:r>
          </w:p>
        </w:tc>
        <w:tc>
          <w:tcPr>
            <w:tcW w:w="2638" w:type="pct"/>
          </w:tcPr>
          <w:p w:rsidR="00103F79" w:rsidRPr="00330AD1" w:rsidRDefault="00103F79" w:rsidP="00E531F1">
            <w:pPr>
              <w:widowControl w:val="0"/>
              <w:spacing w:before="0" w:after="0" w:line="240" w:lineRule="auto"/>
              <w:ind w:firstLine="0"/>
              <w:rPr>
                <w:rFonts w:eastAsia="Calibri"/>
                <w:b/>
                <w:color w:val="000000"/>
                <w:sz w:val="26"/>
                <w:szCs w:val="26"/>
                <w:lang w:val="vi-VN"/>
              </w:rPr>
            </w:pPr>
            <w:r w:rsidRPr="00330AD1">
              <w:rPr>
                <w:color w:val="000000"/>
                <w:sz w:val="26"/>
                <w:szCs w:val="26"/>
              </w:rPr>
              <w:t>Xem xét, trình lãnh đạo Cục Giấy chứng nhận đủ điều kiện nhập khẩu thuốc Thú y hoặc văn bản trả lời</w:t>
            </w:r>
          </w:p>
        </w:tc>
        <w:tc>
          <w:tcPr>
            <w:tcW w:w="846"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Lãnh đạo phòng Quản lý thuốc</w:t>
            </w:r>
          </w:p>
        </w:tc>
        <w:tc>
          <w:tcPr>
            <w:tcW w:w="570" w:type="pct"/>
            <w:vMerge w:val="restar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01 ngày</w:t>
            </w:r>
          </w:p>
        </w:tc>
        <w:tc>
          <w:tcPr>
            <w:tcW w:w="441" w:type="pct"/>
            <w:vMerge/>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Bước 10</w:t>
            </w:r>
          </w:p>
        </w:tc>
        <w:tc>
          <w:tcPr>
            <w:tcW w:w="2638" w:type="pct"/>
          </w:tcPr>
          <w:p w:rsidR="00103F79" w:rsidRPr="00330AD1" w:rsidRDefault="00103F79" w:rsidP="00E531F1">
            <w:pPr>
              <w:spacing w:before="0" w:after="0" w:line="240" w:lineRule="auto"/>
              <w:ind w:firstLine="0"/>
              <w:rPr>
                <w:color w:val="000000"/>
                <w:sz w:val="26"/>
                <w:szCs w:val="26"/>
              </w:rPr>
            </w:pPr>
            <w:r w:rsidRPr="00330AD1">
              <w:rPr>
                <w:color w:val="000000"/>
                <w:sz w:val="26"/>
                <w:szCs w:val="26"/>
              </w:rPr>
              <w:t xml:space="preserve">Lãnh đạo Cục phê duyệt Giấy chứng nhận đủ điều kiện nhập khẩu thuốc Thú y hoặc văn bản trả lời </w:t>
            </w:r>
          </w:p>
        </w:tc>
        <w:tc>
          <w:tcPr>
            <w:tcW w:w="846"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Lãnh đạo Cục</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Bước 11</w:t>
            </w:r>
          </w:p>
        </w:tc>
        <w:tc>
          <w:tcPr>
            <w:tcW w:w="2638" w:type="pct"/>
          </w:tcPr>
          <w:p w:rsidR="00103F79" w:rsidRPr="00330AD1" w:rsidRDefault="00103F79" w:rsidP="00E531F1">
            <w:pPr>
              <w:spacing w:before="0" w:after="0" w:line="240" w:lineRule="auto"/>
              <w:ind w:firstLine="0"/>
              <w:rPr>
                <w:color w:val="000000"/>
                <w:sz w:val="26"/>
                <w:szCs w:val="26"/>
              </w:rPr>
            </w:pPr>
            <w:r w:rsidRPr="00330AD1">
              <w:rPr>
                <w:color w:val="000000"/>
                <w:sz w:val="26"/>
                <w:szCs w:val="26"/>
              </w:rPr>
              <w:t>Văn thư đóng dấu phát hành văn bản</w:t>
            </w:r>
          </w:p>
        </w:tc>
        <w:tc>
          <w:tcPr>
            <w:tcW w:w="846"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Văn thư cơ quan</w:t>
            </w:r>
          </w:p>
        </w:tc>
        <w:tc>
          <w:tcPr>
            <w:tcW w:w="570" w:type="pct"/>
            <w:vMerge w:val="restart"/>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r w:rsidRPr="00330AD1">
              <w:rPr>
                <w:bCs/>
                <w:color w:val="000000"/>
                <w:kern w:val="32"/>
                <w:sz w:val="26"/>
                <w:szCs w:val="26"/>
                <w:lang w:val="nl-NL"/>
              </w:rPr>
              <w:t>01 ngày</w:t>
            </w: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Bước 12</w:t>
            </w:r>
          </w:p>
        </w:tc>
        <w:tc>
          <w:tcPr>
            <w:tcW w:w="2638" w:type="pct"/>
          </w:tcPr>
          <w:p w:rsidR="00103F79" w:rsidRPr="00330AD1" w:rsidRDefault="00103F79" w:rsidP="00E531F1">
            <w:pPr>
              <w:spacing w:before="0" w:after="0" w:line="240" w:lineRule="auto"/>
              <w:ind w:firstLine="0"/>
              <w:rPr>
                <w:color w:val="000000"/>
                <w:sz w:val="26"/>
                <w:szCs w:val="26"/>
              </w:rPr>
            </w:pPr>
            <w:r w:rsidRPr="00330AD1">
              <w:rPr>
                <w:color w:val="000000"/>
                <w:sz w:val="26"/>
                <w:szCs w:val="26"/>
              </w:rPr>
              <w:t>Trả kết quả giải quyết thủ tục hành chính và thu phí (nếu có)</w:t>
            </w:r>
          </w:p>
        </w:tc>
        <w:tc>
          <w:tcPr>
            <w:tcW w:w="846"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Bộ phận Một cửa</w:t>
            </w:r>
          </w:p>
        </w:tc>
        <w:tc>
          <w:tcPr>
            <w:tcW w:w="570" w:type="pct"/>
            <w:vMerge/>
            <w:vAlign w:val="center"/>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vAlign w:val="center"/>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Bước 13</w:t>
            </w:r>
          </w:p>
        </w:tc>
        <w:tc>
          <w:tcPr>
            <w:tcW w:w="2638" w:type="pct"/>
          </w:tcPr>
          <w:p w:rsidR="00103F79" w:rsidRPr="00330AD1" w:rsidRDefault="00103F79" w:rsidP="00E531F1">
            <w:pPr>
              <w:spacing w:before="0" w:after="0" w:line="240" w:lineRule="auto"/>
              <w:ind w:firstLine="0"/>
              <w:rPr>
                <w:color w:val="000000"/>
                <w:sz w:val="26"/>
                <w:szCs w:val="26"/>
              </w:rPr>
            </w:pPr>
            <w:r w:rsidRPr="00330AD1">
              <w:rPr>
                <w:color w:val="000000"/>
                <w:sz w:val="26"/>
                <w:szCs w:val="26"/>
              </w:rPr>
              <w:t>Lưu trữ hồ sơ</w:t>
            </w:r>
          </w:p>
        </w:tc>
        <w:tc>
          <w:tcPr>
            <w:tcW w:w="846"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r w:rsidRPr="00330AD1">
              <w:rPr>
                <w:bCs/>
                <w:color w:val="000000"/>
                <w:kern w:val="32"/>
                <w:sz w:val="26"/>
                <w:szCs w:val="26"/>
                <w:lang w:val="nl-NL"/>
              </w:rPr>
              <w:t>Chuyên viên Phòng Quản lý thuốc</w:t>
            </w:r>
          </w:p>
        </w:tc>
        <w:tc>
          <w:tcPr>
            <w:tcW w:w="570"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r w:rsidR="00103F79" w:rsidRPr="003E0637" w:rsidTr="00E531F1">
        <w:tc>
          <w:tcPr>
            <w:tcW w:w="504" w:type="pct"/>
          </w:tcPr>
          <w:p w:rsidR="00103F79" w:rsidRPr="00330AD1" w:rsidRDefault="00103F79" w:rsidP="00E531F1">
            <w:pPr>
              <w:widowControl w:val="0"/>
              <w:spacing w:before="0" w:after="0" w:line="240" w:lineRule="auto"/>
              <w:ind w:firstLine="0"/>
              <w:jc w:val="center"/>
              <w:rPr>
                <w:bCs/>
                <w:color w:val="000000"/>
                <w:kern w:val="32"/>
                <w:sz w:val="26"/>
                <w:szCs w:val="26"/>
                <w:lang w:val="nl-NL"/>
              </w:rPr>
            </w:pPr>
          </w:p>
        </w:tc>
        <w:tc>
          <w:tcPr>
            <w:tcW w:w="2638" w:type="pct"/>
          </w:tcPr>
          <w:p w:rsidR="00103F79" w:rsidRPr="00103F79" w:rsidRDefault="00103F79" w:rsidP="00E531F1">
            <w:pPr>
              <w:spacing w:before="0" w:after="0" w:line="240" w:lineRule="auto"/>
              <w:ind w:firstLine="0"/>
              <w:rPr>
                <w:b/>
                <w:color w:val="000000"/>
                <w:sz w:val="26"/>
                <w:szCs w:val="26"/>
              </w:rPr>
            </w:pPr>
            <w:r w:rsidRPr="00103F79">
              <w:rPr>
                <w:b/>
                <w:color w:val="000000"/>
                <w:sz w:val="26"/>
                <w:szCs w:val="26"/>
              </w:rPr>
              <w:t>Tổng thời gian giải quyết TTHC</w:t>
            </w:r>
          </w:p>
        </w:tc>
        <w:tc>
          <w:tcPr>
            <w:tcW w:w="846" w:type="pct"/>
          </w:tcPr>
          <w:p w:rsidR="00103F79" w:rsidRPr="00103F79" w:rsidRDefault="00103F79" w:rsidP="00E531F1">
            <w:pPr>
              <w:widowControl w:val="0"/>
              <w:spacing w:before="0" w:after="0" w:line="240" w:lineRule="auto"/>
              <w:ind w:firstLine="0"/>
              <w:jc w:val="center"/>
              <w:rPr>
                <w:b/>
                <w:bCs/>
                <w:color w:val="000000"/>
                <w:kern w:val="32"/>
                <w:sz w:val="26"/>
                <w:szCs w:val="26"/>
                <w:lang w:val="nl-NL"/>
              </w:rPr>
            </w:pPr>
          </w:p>
        </w:tc>
        <w:tc>
          <w:tcPr>
            <w:tcW w:w="570" w:type="pct"/>
          </w:tcPr>
          <w:p w:rsidR="00103F79" w:rsidRPr="00103F79" w:rsidRDefault="00103F79" w:rsidP="00E531F1">
            <w:pPr>
              <w:widowControl w:val="0"/>
              <w:spacing w:before="0" w:after="0" w:line="240" w:lineRule="auto"/>
              <w:ind w:firstLine="0"/>
              <w:jc w:val="center"/>
              <w:rPr>
                <w:b/>
                <w:bCs/>
                <w:color w:val="000000"/>
                <w:kern w:val="32"/>
                <w:sz w:val="26"/>
                <w:szCs w:val="26"/>
                <w:lang w:val="nl-NL"/>
              </w:rPr>
            </w:pPr>
            <w:r w:rsidRPr="00103F79">
              <w:rPr>
                <w:rFonts w:eastAsia="Calibri"/>
                <w:b/>
                <w:color w:val="000000"/>
                <w:sz w:val="26"/>
                <w:szCs w:val="26"/>
              </w:rPr>
              <w:t xml:space="preserve">13 ngày </w:t>
            </w:r>
          </w:p>
        </w:tc>
        <w:tc>
          <w:tcPr>
            <w:tcW w:w="441" w:type="pct"/>
          </w:tcPr>
          <w:p w:rsidR="00103F79" w:rsidRPr="00330AD1" w:rsidRDefault="00103F79" w:rsidP="00E531F1">
            <w:pPr>
              <w:widowControl w:val="0"/>
              <w:spacing w:before="0" w:after="0" w:line="240" w:lineRule="auto"/>
              <w:ind w:firstLine="0"/>
              <w:jc w:val="center"/>
              <w:rPr>
                <w:rFonts w:eastAsia="Calibri"/>
                <w:b/>
                <w:color w:val="000000"/>
                <w:sz w:val="26"/>
                <w:szCs w:val="26"/>
                <w:lang w:val="vi-VN"/>
              </w:rPr>
            </w:pPr>
          </w:p>
        </w:tc>
      </w:tr>
    </w:tbl>
    <w:p w:rsidR="006E70DF" w:rsidRDefault="006E70DF"/>
    <w:sectPr w:rsidR="006E70DF" w:rsidSect="00103F79">
      <w:pgSz w:w="16839" w:h="11907"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03F79"/>
    <w:rsid w:val="00103F79"/>
    <w:rsid w:val="006E7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79"/>
    <w:pPr>
      <w:spacing w:before="120" w:after="120"/>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3F79"/>
    <w:rPr>
      <w:rFonts w:ascii=".VnTimeH" w:hAnsi=".VnTimeH"/>
      <w:sz w:val="26"/>
    </w:rPr>
  </w:style>
  <w:style w:type="character" w:customStyle="1" w:styleId="BodyTextChar">
    <w:name w:val="Body Text Char"/>
    <w:basedOn w:val="DefaultParagraphFont"/>
    <w:link w:val="BodyText"/>
    <w:rsid w:val="00103F79"/>
    <w:rPr>
      <w:rFonts w:ascii=".VnTimeH" w:eastAsia="Times New Roman" w:hAnsi=".VnTimeH" w:cs="Times New Roman"/>
      <w:sz w:val="2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HTVN</dc:creator>
  <cp:lastModifiedBy>HTVN</cp:lastModifiedBy>
  <cp:revision>1</cp:revision>
  <dcterms:created xsi:type="dcterms:W3CDTF">2022-12-01T03:45:00Z</dcterms:created>
  <dcterms:modified xsi:type="dcterms:W3CDTF">2022-12-01T03:46:00Z</dcterms:modified>
</cp:coreProperties>
</file>